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before="160" w:after="160"/>
        <w:rPr>
          <w:b/>
          <w:b/>
          <w:bCs/>
        </w:rPr>
      </w:pPr>
      <w:r>
        <w:rPr>
          <w:b/>
          <w:bCs/>
        </w:rPr>
        <w:t xml:space="preserve">Załącznik Nr 3 do Procedury realizacji praktyki zawodowej na kierunku </w:t>
      </w:r>
      <w:r>
        <w:rPr>
          <w:rFonts w:eastAsia="Times New Roman" w:cs="Times New Roman"/>
          <w:b/>
          <w:bCs/>
          <w:sz w:val="20"/>
          <w:szCs w:val="20"/>
          <w:lang w:eastAsia="pl-PL"/>
        </w:rPr>
        <w:t>Gospodarka Przestrzenna</w:t>
      </w:r>
    </w:p>
    <w:p>
      <w:pPr>
        <w:pStyle w:val="Normal"/>
        <w:widowControl w:val="false"/>
        <w:spacing w:before="0" w:after="120"/>
        <w:jc w:val="center"/>
        <w:rPr>
          <w:b/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Program</w:t>
      </w:r>
    </w:p>
    <w:p>
      <w:pPr>
        <w:pStyle w:val="Normal"/>
        <w:widowControl w:val="false"/>
        <w:spacing w:lineRule="auto" w:line="312" w:before="0" w:after="12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praktyk zawodowych dla studentów studiów stacjonarnych pierwszego stopnia na kierunku 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pl-PL"/>
        </w:rPr>
        <w:t>Gospodarka Przestrzenna</w:t>
      </w:r>
    </w:p>
    <w:p>
      <w:pPr>
        <w:pStyle w:val="Normal"/>
        <w:widowControl w:val="false"/>
        <w:spacing w:lineRule="auto" w:line="252" w:before="0" w:after="120"/>
        <w:jc w:val="both"/>
        <w:rPr>
          <w:i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Celem praktyki zawodowej jest praktyczne przygotowanie studentów kierunku </w:t>
      </w:r>
      <w:r>
        <w:rPr>
          <w:rFonts w:eastAsia="Times New Roman" w:cs="Times New Roman"/>
          <w:i/>
          <w:color w:val="000000"/>
          <w:sz w:val="24"/>
          <w:szCs w:val="24"/>
          <w:lang w:eastAsia="pl-PL"/>
        </w:rPr>
        <w:t>Gospodarka Przestrzenna</w:t>
      </w:r>
      <w:r>
        <w:rPr>
          <w:i/>
          <w:color w:val="000000"/>
          <w:sz w:val="24"/>
          <w:szCs w:val="24"/>
        </w:rPr>
        <w:t xml:space="preserve"> do wykonywania zawodu zgodnie z uzyskanym wykształceniem. Student podczas praktyki ma możliwość wykorzystania i weryfikacji zdobytej podczas studiów wiedzy oraz nabycie umiejętności. Ponadto student przygotowuje się do pracy w zespole, poznaje znaczenie pracy i jej wartość na różnych stanowiskach. </w:t>
      </w:r>
    </w:p>
    <w:p>
      <w:pPr>
        <w:pStyle w:val="Normal"/>
        <w:widowControl w:val="false"/>
        <w:spacing w:lineRule="auto" w:line="252" w:before="0" w:after="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Program praktyki obejmuje wymienione niżej zagadnienia dostosowane do charakteru</w:t>
        <w:br/>
        <w:t>i profilu Instytucji przyjmującej na praktykę: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52"/>
        <w:ind w:left="425" w:hanging="42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zapoznanie się z przepisami prawa obowiązującymi w branży oraz przepisami BHP obowiązującymi w Instytucji przyjmującą na praktykę, 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52" w:before="90" w:after="0"/>
        <w:ind w:left="425" w:right="-2" w:hanging="425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zapoznanie się z organizacją, zarządzaniem i zasadami funkcjonowania, zakresem działalności Instytucji przyjmującą na praktykę, stosowanymi normami jakości, regulaminem pracy itp., 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52" w:before="90" w:after="0"/>
        <w:ind w:left="425" w:right="-2" w:hanging="425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zapoznanie się z procesem </w:t>
      </w: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>administracji lub/i wykonawstwa</w:t>
      </w:r>
      <w:r>
        <w:rPr>
          <w:color w:val="000000" w:themeColor="text1"/>
          <w:sz w:val="24"/>
          <w:szCs w:val="24"/>
        </w:rPr>
        <w:t xml:space="preserve"> w Instytucji przyjmującej na praktykę,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52" w:before="84" w:after="0"/>
        <w:ind w:left="425" w:right="-2" w:hanging="425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zapoznanie się z technologiami stosowanymi w Instytucji przyjmującej na praktykę, 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52" w:before="87" w:after="0"/>
        <w:ind w:left="425" w:right="-2" w:hanging="425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zapoznanie się z procedur</w:t>
      </w:r>
      <w:r>
        <w:rPr>
          <w:rFonts w:eastAsia="Arial"/>
          <w:color w:val="000000" w:themeColor="text1"/>
          <w:sz w:val="24"/>
          <w:szCs w:val="24"/>
        </w:rPr>
        <w:t xml:space="preserve">ami </w:t>
      </w:r>
      <w:r>
        <w:rPr>
          <w:color w:val="000000" w:themeColor="text1"/>
          <w:sz w:val="24"/>
          <w:szCs w:val="24"/>
        </w:rPr>
        <w:t xml:space="preserve">przetargowymi i zasadami przygotowywania dokumentacji przetargowej, 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52" w:before="87" w:after="0"/>
        <w:ind w:left="425" w:right="-2" w:hanging="425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zapoznanie się z funkcjonowaniem i zasadami eksploatacji maszyn i urządzeń wykorzystywanych w procesach technologicznych, 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52" w:before="87" w:after="0"/>
        <w:ind w:left="425" w:right="-2" w:hanging="425"/>
        <w:contextualSpacing/>
        <w:jc w:val="both"/>
        <w:rPr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>z</w:t>
      </w:r>
      <w:r>
        <w:rPr>
          <w:color w:val="000000" w:themeColor="text1"/>
          <w:sz w:val="24"/>
          <w:szCs w:val="24"/>
        </w:rPr>
        <w:t>apoznanie się z procedurami obrotu nieruchomościami, w tym: badaniem ksiąg wieczystych, przygotowania nieruchomości do prezentacji, pracy w stosowanych przez biura pośrednictwa w obrocie nieruchomościami bazami danych o nieruchomościach,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52" w:before="87" w:after="0"/>
        <w:ind w:left="425" w:right="-2" w:hanging="425"/>
        <w:contextualSpacing/>
        <w:jc w:val="both"/>
        <w:rPr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>z</w:t>
      </w:r>
      <w:r>
        <w:rPr>
          <w:color w:val="000000" w:themeColor="text1"/>
          <w:sz w:val="24"/>
          <w:szCs w:val="24"/>
        </w:rPr>
        <w:t>apoznanie się z zagadnieniami wyceny nieruchomości, charakterystyce działania biura tego typu, w tym: praca z Rejestrem cen i wartości nieruchomości, metodach wyceny, zbieraniu danych z wielu dostępnych i stosowanych źródeł, sporządzanie dokumentacji wchodzącej w skład operatu szacunkowego,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52" w:before="87" w:after="0"/>
        <w:ind w:left="425" w:right="-2" w:hanging="425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zapoznanie się z procedurami i charakterem pracy biura projektowego / urbanistycznego w specjalności dotyczącej opracowania projektu zagospodarowania działki, analizy przestrzennej / urbanistycznej, itp., 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52" w:before="87" w:after="0"/>
        <w:ind w:left="425" w:right="-2" w:hanging="425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zapoznanie się z charaktere</w:t>
      </w: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>m</w:t>
      </w:r>
      <w:r>
        <w:rPr>
          <w:color w:val="000000" w:themeColor="text1"/>
          <w:sz w:val="24"/>
          <w:szCs w:val="24"/>
        </w:rPr>
        <w:t xml:space="preserve"> wykonywania projektów za zakresu informacji przestrzennej, digitalizacja zasobów posiadających charakter przestrzenny, praca z danymi zgromadzonymi w geoportalach i serwisach internetowych, czynne uczestnictwo </w:t>
      </w:r>
      <w:r>
        <w:rPr>
          <w:color w:val="auto"/>
          <w:sz w:val="24"/>
          <w:szCs w:val="24"/>
        </w:rPr>
        <w:t>w pracach nad projektami z zakresu GIS,</w:t>
      </w:r>
    </w:p>
    <w:p>
      <w:pPr>
        <w:pStyle w:val="ListParagraph"/>
        <w:numPr>
          <w:ilvl w:val="0"/>
          <w:numId w:val="1"/>
        </w:numPr>
        <w:ind w:left="425" w:hanging="425"/>
        <w:jc w:val="both"/>
        <w:rPr>
          <w:color w:val="auto"/>
        </w:rPr>
      </w:pPr>
      <w:r>
        <w:rPr>
          <w:color w:val="auto"/>
          <w:sz w:val="24"/>
          <w:szCs w:val="24"/>
        </w:rPr>
        <w:t xml:space="preserve">zapoznanie się z technikami i sposobami wykonywania prac dokumentacyjnych (wykonywanie operatów technicznych prac geodezyjnych), organizacją robót wykonywanych przez „zakład pracy” w tym prac na budowach i zasadami ich wykonywania, udział w pracach terenowych i kameralnych z zakresu: pomiary sytuacyjno-wysokościowe, pomiary związane z ewidencją gruntów, </w:t>
      </w:r>
    </w:p>
    <w:p>
      <w:pPr>
        <w:pStyle w:val="ListParagraph"/>
        <w:numPr>
          <w:ilvl w:val="0"/>
          <w:numId w:val="2"/>
        </w:numPr>
        <w:ind w:left="425" w:hanging="42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zapoznanie się z zasadami funkcjonowania sprzętu elektronicznego, zasadami jego  zabezpieczania, kontroli działania, </w:t>
      </w:r>
    </w:p>
    <w:p>
      <w:pPr>
        <w:pStyle w:val="ListParagraph"/>
        <w:numPr>
          <w:ilvl w:val="0"/>
          <w:numId w:val="1"/>
        </w:numPr>
        <w:ind w:left="425" w:hanging="42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udział w kursach specjalistycznych organizowanych przez organizowanych przez instytucję przyjmującą na praktykę.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9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578140360"/>
    </w:sdtPr>
    <w:sdtContent>
      <w:p>
        <w:pPr>
          <w:pStyle w:val="Stopka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t xml:space="preserve">Strona </w:t>
        </w:r>
        <w:r>
          <w:rPr>
            <w:b/>
            <w:sz w:val="16"/>
            <w:szCs w:val="16"/>
          </w:rPr>
          <w:fldChar w:fldCharType="begin"/>
        </w:r>
        <w:r>
          <w:rPr>
            <w:sz w:val="16"/>
            <w:b/>
            <w:szCs w:val="16"/>
          </w:rPr>
          <w:instrText> PAGE </w:instrText>
        </w:r>
        <w:r>
          <w:rPr>
            <w:sz w:val="16"/>
            <w:b/>
            <w:szCs w:val="16"/>
          </w:rPr>
          <w:fldChar w:fldCharType="separate"/>
        </w:r>
        <w:r>
          <w:rPr>
            <w:sz w:val="16"/>
            <w:b/>
            <w:szCs w:val="16"/>
          </w:rPr>
          <w:t>2</w:t>
        </w:r>
        <w:r>
          <w:rPr>
            <w:sz w:val="16"/>
            <w:b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>
          <w:rPr>
            <w:b/>
            <w:sz w:val="16"/>
            <w:szCs w:val="16"/>
          </w:rPr>
          <w:fldChar w:fldCharType="begin"/>
        </w:r>
        <w:r>
          <w:rPr>
            <w:sz w:val="16"/>
            <w:b/>
            <w:szCs w:val="16"/>
          </w:rPr>
          <w:instrText> NUMPAGES </w:instrText>
        </w:r>
        <w:r>
          <w:rPr>
            <w:sz w:val="16"/>
            <w:b/>
            <w:szCs w:val="16"/>
          </w:rPr>
          <w:fldChar w:fldCharType="separate"/>
        </w:r>
        <w:r>
          <w:rPr>
            <w:sz w:val="16"/>
            <w:b/>
            <w:szCs w:val="16"/>
          </w:rPr>
          <w:t>2</w:t>
        </w:r>
        <w:r>
          <w:rPr>
            <w:sz w:val="16"/>
            <w:b/>
            <w:szCs w:val="16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072" w:type="dxa"/>
      <w:jc w:val="center"/>
      <w:tblInd w:w="0" w:type="dxa"/>
      <w:tblLayout w:type="fixed"/>
      <w:tblCellMar>
        <w:top w:w="72" w:type="dxa"/>
        <w:left w:w="144" w:type="dxa"/>
        <w:bottom w:w="72" w:type="dxa"/>
        <w:right w:w="144" w:type="dxa"/>
      </w:tblCellMar>
      <w:tblLook w:val="04a0" w:noHBand="0" w:noVBand="1" w:firstColumn="1" w:lastRow="0" w:lastColumn="0" w:firstRow="1"/>
    </w:tblPr>
    <w:tblGrid>
      <w:gridCol w:w="971"/>
      <w:gridCol w:w="6996"/>
      <w:gridCol w:w="1105"/>
    </w:tblGrid>
    <w:tr>
      <w:trPr>
        <w:trHeight w:val="1061" w:hRule="atLeast"/>
      </w:trPr>
      <w:tc>
        <w:tcPr>
          <w:tcW w:w="971" w:type="dxa"/>
          <w:tcBorders>
            <w:bottom w:val="single" w:sz="8" w:space="0" w:color="000000"/>
          </w:tcBorders>
          <w:shd w:color="auto" w:fill="auto" w:val="clear"/>
          <w:vAlign w:val="center"/>
        </w:tcPr>
        <w:p>
          <w:pPr>
            <w:pStyle w:val="Normal"/>
            <w:widowControl w:val="false"/>
            <w:jc w:val="center"/>
            <w:rPr/>
          </w:pPr>
          <w:r>
            <w:rPr/>
            <w:drawing>
              <wp:inline distT="0" distB="0" distL="0" distR="0">
                <wp:extent cx="434340" cy="735965"/>
                <wp:effectExtent l="0" t="0" r="0" b="0"/>
                <wp:docPr id="1" name="Obraz 2" descr="A-09 HER_CZ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 descr="A-09 HER_CZ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735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6" w:type="dxa"/>
          <w:tcBorders>
            <w:bottom w:val="single" w:sz="8" w:space="0" w:color="000000"/>
          </w:tcBorders>
          <w:shd w:color="auto" w:fill="auto" w:val="clear"/>
          <w:vAlign w:val="center"/>
        </w:tcPr>
        <w:p>
          <w:pPr>
            <w:pStyle w:val="Normal"/>
            <w:widowControl w:val="false"/>
            <w:spacing w:lineRule="auto" w:line="288"/>
            <w:jc w:val="center"/>
            <w:rPr>
              <w:sz w:val="26"/>
              <w:szCs w:val="26"/>
            </w:rPr>
          </w:pPr>
          <w:r>
            <w:rPr>
              <w:b/>
              <w:bCs/>
              <w:sz w:val="26"/>
              <w:szCs w:val="26"/>
            </w:rPr>
            <w:t>Uniwersytet Rolniczy im. H. Kołłątaja w Krakowie</w:t>
          </w:r>
        </w:p>
        <w:p>
          <w:pPr>
            <w:pStyle w:val="Normal"/>
            <w:widowControl w:val="false"/>
            <w:spacing w:lineRule="auto" w:line="288"/>
            <w:jc w:val="center"/>
            <w:rPr>
              <w:b/>
              <w:b/>
              <w:bCs/>
              <w:sz w:val="23"/>
              <w:szCs w:val="23"/>
            </w:rPr>
          </w:pPr>
          <w:r>
            <w:rPr>
              <w:b/>
              <w:bCs/>
              <w:sz w:val="23"/>
              <w:szCs w:val="23"/>
            </w:rPr>
            <w:t>Wydział Inżynierii Środowiska i Geodezji</w:t>
          </w:r>
        </w:p>
        <w:p>
          <w:pPr>
            <w:pStyle w:val="Normal"/>
            <w:widowControl w:val="false"/>
            <w:spacing w:lineRule="auto" w:line="288"/>
            <w:jc w:val="center"/>
            <w:rPr/>
          </w:pPr>
          <w:r>
            <w:rPr/>
            <w:t>Al. Mickiewicza 24/28, 30–059 Kraków</w:t>
          </w:r>
        </w:p>
      </w:tc>
      <w:tc>
        <w:tcPr>
          <w:tcW w:w="1105" w:type="dxa"/>
          <w:tcBorders>
            <w:bottom w:val="single" w:sz="8" w:space="0" w:color="000000"/>
          </w:tcBorders>
          <w:shd w:color="auto" w:fill="auto" w:val="clear"/>
          <w:vAlign w:val="center"/>
        </w:tcPr>
        <w:p>
          <w:pPr>
            <w:pStyle w:val="Normal"/>
            <w:widowControl w:val="false"/>
            <w:rPr/>
          </w:pPr>
          <w:r>
            <w:rPr/>
            <w:drawing>
              <wp:inline distT="0" distB="0" distL="0" distR="0">
                <wp:extent cx="518795" cy="518795"/>
                <wp:effectExtent l="0" t="0" r="0" b="0"/>
                <wp:docPr id="2" name="Obraz 1" descr="wodn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 descr="wodni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795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Gwka"/>
      <w:rPr>
        <w:sz w:val="10"/>
        <w:szCs w:val="10"/>
      </w:rPr>
    </w:pPr>
    <w:r>
      <w:rPr>
        <w:sz w:val="10"/>
        <w:szCs w:val="1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defaultTabStop w:val="708"/>
  <w:mailMerge>
    <w:mainDocumentType w:val="formLetters"/>
    <w:dataType w:val="textFile"/>
    <w:query w:val="SELECT * FROM Adresywwr.dbo.data-1613497833614$"/>
  </w:mailMerge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6247a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83e39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283e3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283e39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83e39"/>
    <w:rPr>
      <w:rFonts w:ascii="Tahoma" w:hAnsi="Tahoma" w:eastAsia="Times New Roman" w:cs="Tahoma"/>
      <w:sz w:val="16"/>
      <w:szCs w:val="1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ac2e8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ac2e80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b071ec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283e39"/>
    <w:pPr/>
    <w:rPr/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283e39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83e39"/>
    <w:pPr/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ac2e8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ac2e80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Application>LibreOffice/7.0.2.2$Linux_X86_64 LibreOffice_project/00$Build-2</Application>
  <Pages>2</Pages>
  <Words>396</Words>
  <Characters>2819</Characters>
  <CharactersWithSpaces>3189</CharactersWithSpaces>
  <Paragraphs>24</Paragraphs>
  <Company>GEOMEDIA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2021-02-22T20:55:00Z</dcterms:created>
  <dc:creator>Marot</dc:creator>
  <dc:description/>
  <dc:language>pl-PL</dc:language>
  <cp:lastModifiedBy/>
  <dcterms:modified xsi:type="dcterms:W3CDTF">2021-04-11T21:40:42Z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GEOMEDIA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